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6121" w14:textId="599B687A" w:rsidR="00370B71" w:rsidRPr="00370B71" w:rsidRDefault="00370B71" w:rsidP="00270BE9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Ausschreibungstext für den Austausch der Antriebseinheit 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>beim OTIS GeN2</w:t>
      </w:r>
      <w:r w:rsidR="009E6FF7">
        <w:rPr>
          <w:rFonts w:ascii="Helvetica Neue" w:hAnsi="Helvetica Neue" w:cs="Segoe UI"/>
          <w:color w:val="183247"/>
          <w:sz w:val="20"/>
          <w:szCs w:val="20"/>
        </w:rPr>
        <w:t xml:space="preserve"> durch den GTO 35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>:</w:t>
      </w:r>
    </w:p>
    <w:p w14:paraId="23E66884" w14:textId="77777777" w:rsidR="00B3348C" w:rsidRDefault="00B3348C" w:rsidP="00C45AFD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4705B684" w14:textId="43AF646A" w:rsidR="00C45AFD" w:rsidRDefault="00C45AFD" w:rsidP="00C45AFD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>Antrieb (Leitfabrikat: FLP Lift Parts GmbH)</w:t>
      </w:r>
    </w:p>
    <w:p w14:paraId="6524892D" w14:textId="35A8EEA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45AF6F65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Der vorhandene Antrieb soll durch einen passenden </w:t>
      </w:r>
      <w:proofErr w:type="spellStart"/>
      <w:r w:rsidRPr="00370B71">
        <w:rPr>
          <w:rFonts w:ascii="Helvetica Neue" w:hAnsi="Helvetica Neue" w:cs="Segoe UI"/>
          <w:color w:val="183247"/>
          <w:sz w:val="20"/>
          <w:szCs w:val="20"/>
        </w:rPr>
        <w:t>Synchrongearless</w:t>
      </w:r>
      <w:proofErr w:type="spellEnd"/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 Motor und einem mit</w:t>
      </w:r>
    </w:p>
    <w:p w14:paraId="76514CAE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berechneten Maschinenrahmen ohne Anpassungen einfach und schnell ausgetauscht werden. Das</w:t>
      </w:r>
    </w:p>
    <w:p w14:paraId="27F7AAFF" w14:textId="484D2C5B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vorhandene Bohrbild der Bestandsmaschine muss exakt 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bernommen werden. Aufwändig gebaute</w:t>
      </w:r>
    </w:p>
    <w:p w14:paraId="6367AECF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Adapterrahmen und die damit erforderliche auftragsbedingte Konstruktionsarbeit mit allen damit</w:t>
      </w:r>
    </w:p>
    <w:p w14:paraId="1BAA218E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verbundenen Unsicherheiten können entfallen. Eine eventuell erforderliche Adaption der Maschine</w:t>
      </w:r>
    </w:p>
    <w:p w14:paraId="68D5FCB4" w14:textId="4FC8B4D0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proofErr w:type="gramStart"/>
      <w:r w:rsidRPr="00370B71">
        <w:rPr>
          <w:rFonts w:ascii="Helvetica Neue" w:hAnsi="Helvetica Neue" w:cs="Segoe UI"/>
          <w:color w:val="183247"/>
          <w:sz w:val="20"/>
          <w:szCs w:val="20"/>
        </w:rPr>
        <w:t>darf</w:t>
      </w:r>
      <w:proofErr w:type="gramEnd"/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 eine maximale Höhe von 20mm nicht 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berschreiten. Es gibt am Markt fertige, standardisierte</w:t>
      </w:r>
    </w:p>
    <w:p w14:paraId="744C8777" w14:textId="53B989EB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Lösungen aus einer Hand und f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r bestimmte vorhandene Aufzugssysteme. Diese sind zu verwenden.</w:t>
      </w:r>
    </w:p>
    <w:p w14:paraId="34E81BAA" w14:textId="5C15CC3A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Unabhängig der gewählten Lösung d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rfen keine Bohrungen oder sonstige Modifikationen am</w:t>
      </w:r>
    </w:p>
    <w:p w14:paraId="477A0F31" w14:textId="770677F9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vorhandenen Maschinenrahmen durchgef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hrt werden. Die vorhandene Statik darf nicht verändert</w:t>
      </w:r>
    </w:p>
    <w:p w14:paraId="30A59AC0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werden.</w:t>
      </w:r>
    </w:p>
    <w:p w14:paraId="778974CE" w14:textId="0E85D5F1" w:rsidR="00370B71" w:rsidRPr="00370B71" w:rsidRDefault="00270BE9" w:rsidP="00270BE9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>Die Tragriemen sollen durch alternative Riemen ersetzt werden. Der Abstand zwischen den Riemen muss identisch wie vorher bleiben. Es gibt beim GeN2 2 Varianten. 65mm und 55mm. Die Umlenkrollen sollen nicht getauscht werden, sofern die vorhandenen noch in Ordnung sind.</w:t>
      </w:r>
    </w:p>
    <w:p w14:paraId="5B4CEEF9" w14:textId="079DBE6B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F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>ür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 die Weiterverwendung am Einsatzort müssen </w:t>
      </w:r>
      <w:proofErr w:type="spellStart"/>
      <w:r w:rsidRPr="00370B71">
        <w:rPr>
          <w:rFonts w:ascii="Helvetica Neue" w:hAnsi="Helvetica Neue" w:cs="Segoe UI"/>
          <w:color w:val="183247"/>
          <w:sz w:val="20"/>
          <w:szCs w:val="20"/>
        </w:rPr>
        <w:t>Las</w:t>
      </w:r>
      <w:r w:rsidR="009C7A8B">
        <w:rPr>
          <w:rFonts w:ascii="Helvetica Neue" w:hAnsi="Helvetica Neue" w:cs="Segoe UI"/>
          <w:color w:val="183247"/>
          <w:sz w:val="20"/>
          <w:szCs w:val="20"/>
        </w:rPr>
        <w:t>t</w:t>
      </w:r>
      <w:r>
        <w:rPr>
          <w:rFonts w:ascii="Helvetica Neue" w:hAnsi="Helvetica Neue" w:cs="Segoe UI"/>
          <w:color w:val="183247"/>
          <w:sz w:val="20"/>
          <w:szCs w:val="20"/>
        </w:rPr>
        <w:t>ö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sen</w:t>
      </w:r>
      <w:proofErr w:type="spellEnd"/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 vorgesehen sein und die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Anschlussklemmen sind mit einer Abdeckung zu versehen.</w:t>
      </w:r>
    </w:p>
    <w:p w14:paraId="283EABCA" w14:textId="77777777" w:rsid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3178A47E" w14:textId="06633D98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Erforderliche Merkmale der Antriebstechnik:</w:t>
      </w:r>
    </w:p>
    <w:p w14:paraId="7C4B4E09" w14:textId="57A07A7C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Einschaltdauer: </w:t>
      </w:r>
      <w:r w:rsidR="009C7A8B">
        <w:rPr>
          <w:rFonts w:ascii="Helvetica Neue" w:hAnsi="Helvetica Neue" w:cs="Segoe UI"/>
          <w:color w:val="183247"/>
          <w:sz w:val="20"/>
          <w:szCs w:val="20"/>
        </w:rPr>
        <w:t>mind. 5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0% ED</w:t>
      </w:r>
    </w:p>
    <w:p w14:paraId="6FFDAE6C" w14:textId="769404C2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Fahrtenzahl: 180 F/h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oder 240 F/h</w:t>
      </w:r>
    </w:p>
    <w:p w14:paraId="72194883" w14:textId="55D6120E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Belüftung: Eigenl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ftung (Keine Fremdl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fter bzw. Ventilatoren)</w:t>
      </w:r>
    </w:p>
    <w:p w14:paraId="4EFFBD5A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Drehmomentreserve: 15%</w:t>
      </w:r>
    </w:p>
    <w:p w14:paraId="441017F6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Adaption: max. 20mm Adapterplatte</w:t>
      </w:r>
    </w:p>
    <w:p w14:paraId="38741248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Drehgeber: ECN 1313</w:t>
      </w:r>
    </w:p>
    <w:p w14:paraId="57EE2CCC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Bremsspannung: 205VDC ohne Übererregung</w:t>
      </w:r>
    </w:p>
    <w:p w14:paraId="67396360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Bremse: UCM-zertifizierte Zweikreisbremse</w:t>
      </w:r>
    </w:p>
    <w:p w14:paraId="7910D71B" w14:textId="4287D378" w:rsidR="00713385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berwachung: Bremskontrollschalter</w:t>
      </w:r>
    </w:p>
    <w:sectPr w:rsidR="007133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FD"/>
    <w:rsid w:val="000331B5"/>
    <w:rsid w:val="0008105C"/>
    <w:rsid w:val="00107670"/>
    <w:rsid w:val="00170E74"/>
    <w:rsid w:val="001C47FB"/>
    <w:rsid w:val="0022262A"/>
    <w:rsid w:val="00270BE9"/>
    <w:rsid w:val="0031624D"/>
    <w:rsid w:val="003457A0"/>
    <w:rsid w:val="00370B71"/>
    <w:rsid w:val="00420951"/>
    <w:rsid w:val="00460CE9"/>
    <w:rsid w:val="005A763C"/>
    <w:rsid w:val="00652BF8"/>
    <w:rsid w:val="0066194C"/>
    <w:rsid w:val="00667543"/>
    <w:rsid w:val="00675E67"/>
    <w:rsid w:val="006832D9"/>
    <w:rsid w:val="006A0762"/>
    <w:rsid w:val="00713385"/>
    <w:rsid w:val="00745A05"/>
    <w:rsid w:val="00771551"/>
    <w:rsid w:val="00883D32"/>
    <w:rsid w:val="008F6B66"/>
    <w:rsid w:val="009256D9"/>
    <w:rsid w:val="0097663B"/>
    <w:rsid w:val="009C7A8B"/>
    <w:rsid w:val="009E6FF7"/>
    <w:rsid w:val="00A04DCD"/>
    <w:rsid w:val="00B3348C"/>
    <w:rsid w:val="00C45AFD"/>
    <w:rsid w:val="00CA0B8F"/>
    <w:rsid w:val="00F07365"/>
    <w:rsid w:val="00F958FE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277E"/>
  <w15:chartTrackingRefBased/>
  <w15:docId w15:val="{939D5E87-2F04-40F2-B453-E87BE856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AFD"/>
    <w:pPr>
      <w:spacing w:after="0" w:line="240" w:lineRule="auto"/>
    </w:pPr>
    <w:rPr>
      <w:rFonts w:ascii="Calibri" w:hAnsi="Calibri" w:cs="Calibri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45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6979-BC7B-4755-9B00-35013D11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Schäfer</dc:creator>
  <cp:keywords/>
  <dc:description/>
  <cp:lastModifiedBy>Patrizio Fontanarosa</cp:lastModifiedBy>
  <cp:revision>4</cp:revision>
  <cp:lastPrinted>2023-09-12T18:31:00Z</cp:lastPrinted>
  <dcterms:created xsi:type="dcterms:W3CDTF">2025-04-08T09:18:00Z</dcterms:created>
  <dcterms:modified xsi:type="dcterms:W3CDTF">2025-05-27T19:53:00Z</dcterms:modified>
</cp:coreProperties>
</file>